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E5CB63">
      <w:pPr>
        <w:keepNext w:val="0"/>
        <w:keepLines w:val="0"/>
        <w:pageBreakBefore w:val="0"/>
        <w:widowControl w:val="0"/>
        <w:kinsoku/>
        <w:wordWrap/>
        <w:overflowPunct/>
        <w:topLinePunct w:val="0"/>
        <w:autoSpaceDE/>
        <w:autoSpaceDN/>
        <w:bidi w:val="0"/>
        <w:adjustRightInd/>
        <w:snapToGrid/>
        <w:spacing w:line="400" w:lineRule="exact"/>
        <w:textAlignment w:val="auto"/>
        <w:rPr>
          <w:rFonts w:ascii="宋体" w:hAnsi="宋体"/>
          <w:b/>
          <w:bCs/>
          <w:color w:val="auto"/>
          <w:sz w:val="24"/>
        </w:rPr>
      </w:pPr>
      <w:bookmarkStart w:id="0" w:name="_GoBack"/>
      <w:r>
        <w:rPr>
          <w:rFonts w:hint="eastAsia" w:ascii="宋体" w:hAnsi="宋体"/>
          <w:b/>
          <w:bCs/>
          <w:color w:val="auto"/>
          <w:sz w:val="24"/>
        </w:rPr>
        <w:t>附件1：                           采购需求</w:t>
      </w:r>
    </w:p>
    <w:bookmarkEnd w:id="0"/>
    <w:p w14:paraId="7369DF3A">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宋体" w:hAnsi="宋体" w:cs="宋体"/>
          <w:color w:val="auto"/>
          <w:sz w:val="24"/>
        </w:rPr>
      </w:pPr>
      <w:r>
        <w:rPr>
          <w:rFonts w:hint="eastAsia" w:ascii="宋体" w:hAnsi="宋体" w:cs="宋体"/>
          <w:color w:val="auto"/>
          <w:sz w:val="24"/>
        </w:rPr>
        <w:t>（一）租赁车辆车型、品牌、租车服务要求：</w:t>
      </w:r>
    </w:p>
    <w:tbl>
      <w:tblPr>
        <w:tblStyle w:val="3"/>
        <w:tblpPr w:leftFromText="180" w:rightFromText="180" w:vertAnchor="text" w:horzAnchor="margin" w:tblpXSpec="center" w:tblpY="110"/>
        <w:tblW w:w="10359" w:type="dxa"/>
        <w:tblInd w:w="0" w:type="dxa"/>
        <w:tblLayout w:type="fixed"/>
        <w:tblCellMar>
          <w:top w:w="0" w:type="dxa"/>
          <w:left w:w="108" w:type="dxa"/>
          <w:bottom w:w="0" w:type="dxa"/>
          <w:right w:w="108" w:type="dxa"/>
        </w:tblCellMar>
      </w:tblPr>
      <w:tblGrid>
        <w:gridCol w:w="3184"/>
        <w:gridCol w:w="4786"/>
        <w:gridCol w:w="2389"/>
      </w:tblGrid>
      <w:tr w14:paraId="0E57FEB5">
        <w:tblPrEx>
          <w:tblCellMar>
            <w:top w:w="0" w:type="dxa"/>
            <w:left w:w="108" w:type="dxa"/>
            <w:bottom w:w="0" w:type="dxa"/>
            <w:right w:w="108" w:type="dxa"/>
          </w:tblCellMar>
        </w:tblPrEx>
        <w:trPr>
          <w:trHeight w:val="479" w:hRule="atLeast"/>
        </w:trPr>
        <w:tc>
          <w:tcPr>
            <w:tcW w:w="3184" w:type="dxa"/>
            <w:tcBorders>
              <w:top w:val="single" w:color="000000" w:sz="4" w:space="0"/>
              <w:left w:val="single" w:color="000000" w:sz="4" w:space="0"/>
              <w:bottom w:val="single" w:color="000000" w:sz="4" w:space="0"/>
              <w:right w:val="single" w:color="000000" w:sz="4" w:space="0"/>
            </w:tcBorders>
            <w:noWrap w:val="0"/>
            <w:vAlign w:val="center"/>
          </w:tcPr>
          <w:p w14:paraId="3B9AEB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color w:val="auto"/>
                <w:sz w:val="24"/>
              </w:rPr>
            </w:pPr>
            <w:r>
              <w:rPr>
                <w:rFonts w:hint="eastAsia" w:ascii="宋体" w:hAnsi="宋体" w:cs="宋体"/>
                <w:color w:val="auto"/>
                <w:sz w:val="24"/>
              </w:rPr>
              <w:t>车型</w:t>
            </w:r>
          </w:p>
        </w:tc>
        <w:tc>
          <w:tcPr>
            <w:tcW w:w="4786" w:type="dxa"/>
            <w:tcBorders>
              <w:top w:val="single" w:color="000000" w:sz="4" w:space="0"/>
              <w:left w:val="single" w:color="000000" w:sz="4" w:space="0"/>
              <w:bottom w:val="single" w:color="000000" w:sz="4" w:space="0"/>
              <w:right w:val="single" w:color="auto" w:sz="4" w:space="0"/>
            </w:tcBorders>
            <w:noWrap w:val="0"/>
            <w:vAlign w:val="center"/>
          </w:tcPr>
          <w:p w14:paraId="3FD22FF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color w:val="auto"/>
                <w:sz w:val="24"/>
              </w:rPr>
            </w:pPr>
            <w:r>
              <w:rPr>
                <w:rFonts w:hint="eastAsia" w:ascii="宋体" w:hAnsi="宋体" w:cs="宋体"/>
                <w:color w:val="auto"/>
                <w:sz w:val="24"/>
              </w:rPr>
              <w:t>品牌要求</w:t>
            </w:r>
          </w:p>
        </w:tc>
        <w:tc>
          <w:tcPr>
            <w:tcW w:w="2389" w:type="dxa"/>
            <w:tcBorders>
              <w:top w:val="single" w:color="000000" w:sz="4" w:space="0"/>
              <w:left w:val="single" w:color="auto" w:sz="4" w:space="0"/>
              <w:bottom w:val="single" w:color="000000" w:sz="4" w:space="0"/>
              <w:right w:val="single" w:color="000000" w:sz="4" w:space="0"/>
            </w:tcBorders>
            <w:noWrap w:val="0"/>
            <w:vAlign w:val="center"/>
          </w:tcPr>
          <w:p w14:paraId="4A34EE0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color w:val="auto"/>
                <w:sz w:val="24"/>
              </w:rPr>
            </w:pPr>
            <w:r>
              <w:rPr>
                <w:rFonts w:hint="eastAsia" w:ascii="宋体" w:hAnsi="宋体" w:cs="宋体"/>
                <w:color w:val="auto"/>
                <w:sz w:val="24"/>
              </w:rPr>
              <w:t>租车服务要求</w:t>
            </w:r>
          </w:p>
        </w:tc>
      </w:tr>
      <w:tr w14:paraId="16CA88E9">
        <w:tblPrEx>
          <w:tblCellMar>
            <w:top w:w="0" w:type="dxa"/>
            <w:left w:w="108" w:type="dxa"/>
            <w:bottom w:w="0" w:type="dxa"/>
            <w:right w:w="108" w:type="dxa"/>
          </w:tblCellMar>
        </w:tblPrEx>
        <w:trPr>
          <w:trHeight w:val="588" w:hRule="atLeast"/>
        </w:trPr>
        <w:tc>
          <w:tcPr>
            <w:tcW w:w="3184" w:type="dxa"/>
            <w:tcBorders>
              <w:top w:val="single" w:color="000000" w:sz="4" w:space="0"/>
              <w:left w:val="single" w:color="000000" w:sz="4" w:space="0"/>
              <w:bottom w:val="single" w:color="000000" w:sz="4" w:space="0"/>
              <w:right w:val="single" w:color="000000" w:sz="4" w:space="0"/>
            </w:tcBorders>
            <w:noWrap w:val="0"/>
            <w:vAlign w:val="center"/>
          </w:tcPr>
          <w:p w14:paraId="5C61747B">
            <w:pPr>
              <w:keepNext w:val="0"/>
              <w:keepLines w:val="0"/>
              <w:pageBreakBefore w:val="0"/>
              <w:widowControl w:val="0"/>
              <w:kinsoku/>
              <w:wordWrap/>
              <w:overflowPunct/>
              <w:topLinePunct w:val="0"/>
              <w:autoSpaceDE/>
              <w:autoSpaceDN/>
              <w:bidi w:val="0"/>
              <w:adjustRightInd/>
              <w:snapToGrid/>
              <w:spacing w:line="400" w:lineRule="exact"/>
              <w:textAlignment w:val="auto"/>
              <w:rPr>
                <w:rFonts w:ascii="宋体" w:hAnsi="宋体" w:cs="宋体"/>
                <w:color w:val="auto"/>
                <w:sz w:val="24"/>
              </w:rPr>
            </w:pPr>
            <w:r>
              <w:rPr>
                <w:rFonts w:hint="eastAsia" w:ascii="宋体" w:hAnsi="宋体"/>
                <w:color w:val="auto"/>
                <w:sz w:val="24"/>
              </w:rPr>
              <w:t>9座以下商务车、轿车</w:t>
            </w:r>
          </w:p>
        </w:tc>
        <w:tc>
          <w:tcPr>
            <w:tcW w:w="4786" w:type="dxa"/>
            <w:tcBorders>
              <w:top w:val="single" w:color="000000" w:sz="4" w:space="0"/>
              <w:left w:val="single" w:color="000000" w:sz="4" w:space="0"/>
              <w:bottom w:val="single" w:color="000000" w:sz="4" w:space="0"/>
              <w:right w:val="single" w:color="auto" w:sz="4" w:space="0"/>
            </w:tcBorders>
            <w:noWrap w:val="0"/>
            <w:vAlign w:val="center"/>
          </w:tcPr>
          <w:p w14:paraId="5D5B156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color w:val="auto"/>
                <w:sz w:val="24"/>
              </w:rPr>
            </w:pPr>
            <w:r>
              <w:rPr>
                <w:rFonts w:hint="eastAsia" w:ascii="宋体" w:hAnsi="宋体" w:cs="宋体"/>
                <w:color w:val="auto"/>
                <w:sz w:val="24"/>
              </w:rPr>
              <w:t>丰田凯美瑞、帕萨特、桑塔纳、朗逸、别克GL8或同档次车辆</w:t>
            </w:r>
          </w:p>
        </w:tc>
        <w:tc>
          <w:tcPr>
            <w:tcW w:w="2389" w:type="dxa"/>
            <w:vMerge w:val="restart"/>
            <w:tcBorders>
              <w:top w:val="single" w:color="000000" w:sz="4" w:space="0"/>
              <w:left w:val="single" w:color="auto" w:sz="4" w:space="0"/>
              <w:right w:val="single" w:color="000000" w:sz="4" w:space="0"/>
            </w:tcBorders>
            <w:noWrap w:val="0"/>
            <w:vAlign w:val="center"/>
          </w:tcPr>
          <w:p w14:paraId="756F216F">
            <w:pPr>
              <w:keepNext w:val="0"/>
              <w:keepLines w:val="0"/>
              <w:pageBreakBefore w:val="0"/>
              <w:widowControl w:val="0"/>
              <w:kinsoku/>
              <w:wordWrap/>
              <w:overflowPunct/>
              <w:topLinePunct w:val="0"/>
              <w:autoSpaceDE/>
              <w:autoSpaceDN/>
              <w:bidi w:val="0"/>
              <w:adjustRightInd/>
              <w:snapToGrid/>
              <w:spacing w:line="400" w:lineRule="exact"/>
              <w:textAlignment w:val="auto"/>
              <w:rPr>
                <w:rFonts w:ascii="宋体" w:hAnsi="宋体" w:cs="宋体"/>
                <w:color w:val="auto"/>
                <w:sz w:val="24"/>
              </w:rPr>
            </w:pPr>
            <w:r>
              <w:rPr>
                <w:rFonts w:hint="eastAsia" w:ascii="宋体" w:hAnsi="宋体" w:cs="宋体"/>
                <w:color w:val="auto"/>
                <w:sz w:val="24"/>
              </w:rPr>
              <w:t>1.带司机</w:t>
            </w:r>
          </w:p>
          <w:p w14:paraId="65B7237A">
            <w:pPr>
              <w:keepNext w:val="0"/>
              <w:keepLines w:val="0"/>
              <w:pageBreakBefore w:val="0"/>
              <w:widowControl w:val="0"/>
              <w:kinsoku/>
              <w:wordWrap/>
              <w:overflowPunct/>
              <w:topLinePunct w:val="0"/>
              <w:autoSpaceDE/>
              <w:autoSpaceDN/>
              <w:bidi w:val="0"/>
              <w:adjustRightInd/>
              <w:snapToGrid/>
              <w:spacing w:line="400" w:lineRule="exact"/>
              <w:textAlignment w:val="auto"/>
              <w:rPr>
                <w:rFonts w:ascii="宋体" w:hAnsi="宋体" w:cs="宋体"/>
                <w:color w:val="auto"/>
                <w:sz w:val="24"/>
              </w:rPr>
            </w:pPr>
            <w:r>
              <w:rPr>
                <w:rFonts w:hint="eastAsia" w:ascii="宋体" w:hAnsi="宋体" w:cs="宋体"/>
                <w:color w:val="auto"/>
                <w:sz w:val="24"/>
              </w:rPr>
              <w:t>2.按公里计算和半天、数天计算</w:t>
            </w:r>
          </w:p>
        </w:tc>
      </w:tr>
      <w:tr w14:paraId="055F954B">
        <w:tblPrEx>
          <w:tblCellMar>
            <w:top w:w="0" w:type="dxa"/>
            <w:left w:w="108" w:type="dxa"/>
            <w:bottom w:w="0" w:type="dxa"/>
            <w:right w:w="108" w:type="dxa"/>
          </w:tblCellMar>
        </w:tblPrEx>
        <w:trPr>
          <w:trHeight w:val="588" w:hRule="atLeast"/>
        </w:trPr>
        <w:tc>
          <w:tcPr>
            <w:tcW w:w="3184" w:type="dxa"/>
            <w:tcBorders>
              <w:top w:val="single" w:color="000000" w:sz="4" w:space="0"/>
              <w:left w:val="single" w:color="000000" w:sz="4" w:space="0"/>
              <w:bottom w:val="single" w:color="000000" w:sz="4" w:space="0"/>
              <w:right w:val="single" w:color="000000" w:sz="4" w:space="0"/>
            </w:tcBorders>
            <w:noWrap w:val="0"/>
            <w:vAlign w:val="center"/>
          </w:tcPr>
          <w:p w14:paraId="083D4A45">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ascii="宋体" w:hAnsi="宋体" w:cs="宋体"/>
                <w:color w:val="auto"/>
                <w:sz w:val="24"/>
              </w:rPr>
            </w:pPr>
            <w:r>
              <w:rPr>
                <w:rFonts w:hint="eastAsia" w:ascii="宋体" w:hAnsi="宋体" w:cs="宋体"/>
                <w:color w:val="auto"/>
                <w:sz w:val="24"/>
              </w:rPr>
              <w:t>9（不含）-23（含）座中型客车</w:t>
            </w:r>
          </w:p>
        </w:tc>
        <w:tc>
          <w:tcPr>
            <w:tcW w:w="4786" w:type="dxa"/>
            <w:tcBorders>
              <w:top w:val="single" w:color="000000" w:sz="4" w:space="0"/>
              <w:left w:val="single" w:color="000000" w:sz="4" w:space="0"/>
              <w:bottom w:val="single" w:color="000000" w:sz="4" w:space="0"/>
              <w:right w:val="single" w:color="auto" w:sz="4" w:space="0"/>
            </w:tcBorders>
            <w:noWrap w:val="0"/>
            <w:vAlign w:val="center"/>
          </w:tcPr>
          <w:p w14:paraId="483A158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color w:val="auto"/>
                <w:sz w:val="24"/>
              </w:rPr>
            </w:pPr>
            <w:r>
              <w:rPr>
                <w:rFonts w:hint="eastAsia" w:ascii="宋体" w:hAnsi="宋体" w:cs="宋体"/>
                <w:color w:val="auto"/>
                <w:sz w:val="24"/>
              </w:rPr>
              <w:t>金杯、东风、大汉尼奥普兰或同档次车辆</w:t>
            </w:r>
          </w:p>
        </w:tc>
        <w:tc>
          <w:tcPr>
            <w:tcW w:w="2389" w:type="dxa"/>
            <w:vMerge w:val="continue"/>
            <w:tcBorders>
              <w:left w:val="single" w:color="auto" w:sz="4" w:space="0"/>
              <w:right w:val="single" w:color="000000" w:sz="4" w:space="0"/>
            </w:tcBorders>
            <w:noWrap w:val="0"/>
            <w:vAlign w:val="center"/>
          </w:tcPr>
          <w:p w14:paraId="0FD96874">
            <w:pPr>
              <w:keepNext w:val="0"/>
              <w:keepLines w:val="0"/>
              <w:pageBreakBefore w:val="0"/>
              <w:widowControl w:val="0"/>
              <w:kinsoku/>
              <w:wordWrap/>
              <w:overflowPunct/>
              <w:topLinePunct w:val="0"/>
              <w:autoSpaceDE/>
              <w:autoSpaceDN/>
              <w:bidi w:val="0"/>
              <w:adjustRightInd/>
              <w:snapToGrid/>
              <w:spacing w:line="400" w:lineRule="exact"/>
              <w:ind w:firstLine="420"/>
              <w:jc w:val="center"/>
              <w:textAlignment w:val="auto"/>
              <w:rPr>
                <w:rFonts w:ascii="宋体" w:hAnsi="宋体" w:cs="宋体"/>
                <w:color w:val="auto"/>
                <w:sz w:val="24"/>
              </w:rPr>
            </w:pPr>
          </w:p>
        </w:tc>
      </w:tr>
      <w:tr w14:paraId="5B758F87">
        <w:tblPrEx>
          <w:tblCellMar>
            <w:top w:w="0" w:type="dxa"/>
            <w:left w:w="108" w:type="dxa"/>
            <w:bottom w:w="0" w:type="dxa"/>
            <w:right w:w="108" w:type="dxa"/>
          </w:tblCellMar>
        </w:tblPrEx>
        <w:trPr>
          <w:trHeight w:val="551" w:hRule="atLeast"/>
        </w:trPr>
        <w:tc>
          <w:tcPr>
            <w:tcW w:w="3184" w:type="dxa"/>
            <w:tcBorders>
              <w:top w:val="single" w:color="000000" w:sz="4" w:space="0"/>
              <w:left w:val="single" w:color="000000" w:sz="4" w:space="0"/>
              <w:bottom w:val="single" w:color="000000" w:sz="4" w:space="0"/>
              <w:right w:val="single" w:color="000000" w:sz="4" w:space="0"/>
            </w:tcBorders>
            <w:noWrap w:val="0"/>
            <w:vAlign w:val="center"/>
          </w:tcPr>
          <w:p w14:paraId="2A091F1B">
            <w:pPr>
              <w:keepNext w:val="0"/>
              <w:keepLines w:val="0"/>
              <w:pageBreakBefore w:val="0"/>
              <w:widowControl w:val="0"/>
              <w:kinsoku/>
              <w:wordWrap/>
              <w:overflowPunct/>
              <w:topLinePunct w:val="0"/>
              <w:autoSpaceDE/>
              <w:autoSpaceDN/>
              <w:bidi w:val="0"/>
              <w:adjustRightInd/>
              <w:snapToGrid/>
              <w:spacing w:line="400" w:lineRule="exact"/>
              <w:textAlignment w:val="auto"/>
              <w:rPr>
                <w:rFonts w:ascii="宋体" w:hAnsi="宋体" w:cs="宋体"/>
                <w:color w:val="auto"/>
                <w:sz w:val="24"/>
              </w:rPr>
            </w:pPr>
            <w:r>
              <w:rPr>
                <w:rFonts w:hint="eastAsia" w:ascii="宋体" w:hAnsi="宋体" w:cs="宋体"/>
                <w:color w:val="auto"/>
                <w:sz w:val="24"/>
              </w:rPr>
              <w:t>33座（含）以上大客车</w:t>
            </w:r>
          </w:p>
        </w:tc>
        <w:tc>
          <w:tcPr>
            <w:tcW w:w="4786" w:type="dxa"/>
            <w:tcBorders>
              <w:top w:val="single" w:color="000000" w:sz="4" w:space="0"/>
              <w:left w:val="single" w:color="000000" w:sz="4" w:space="0"/>
              <w:bottom w:val="single" w:color="000000" w:sz="4" w:space="0"/>
              <w:right w:val="single" w:color="auto" w:sz="4" w:space="0"/>
            </w:tcBorders>
            <w:noWrap w:val="0"/>
            <w:vAlign w:val="center"/>
          </w:tcPr>
          <w:p w14:paraId="0606267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color w:val="auto"/>
                <w:sz w:val="24"/>
              </w:rPr>
            </w:pPr>
            <w:r>
              <w:rPr>
                <w:rFonts w:hint="eastAsia" w:ascii="宋体" w:hAnsi="宋体" w:cs="宋体"/>
                <w:color w:val="auto"/>
                <w:sz w:val="24"/>
              </w:rPr>
              <w:t>宇通、金龙或同档次车辆</w:t>
            </w:r>
          </w:p>
        </w:tc>
        <w:tc>
          <w:tcPr>
            <w:tcW w:w="2389" w:type="dxa"/>
            <w:vMerge w:val="continue"/>
            <w:tcBorders>
              <w:left w:val="single" w:color="auto" w:sz="4" w:space="0"/>
              <w:right w:val="single" w:color="000000" w:sz="4" w:space="0"/>
            </w:tcBorders>
            <w:noWrap w:val="0"/>
            <w:vAlign w:val="center"/>
          </w:tcPr>
          <w:p w14:paraId="20063906">
            <w:pPr>
              <w:keepNext w:val="0"/>
              <w:keepLines w:val="0"/>
              <w:pageBreakBefore w:val="0"/>
              <w:widowControl w:val="0"/>
              <w:kinsoku/>
              <w:wordWrap/>
              <w:overflowPunct/>
              <w:topLinePunct w:val="0"/>
              <w:autoSpaceDE/>
              <w:autoSpaceDN/>
              <w:bidi w:val="0"/>
              <w:adjustRightInd/>
              <w:snapToGrid/>
              <w:spacing w:line="400" w:lineRule="exact"/>
              <w:ind w:firstLine="420"/>
              <w:jc w:val="center"/>
              <w:textAlignment w:val="auto"/>
              <w:rPr>
                <w:rFonts w:ascii="宋体" w:hAnsi="宋体" w:cs="宋体"/>
                <w:color w:val="auto"/>
                <w:sz w:val="24"/>
              </w:rPr>
            </w:pPr>
          </w:p>
        </w:tc>
      </w:tr>
      <w:tr w14:paraId="365DE141">
        <w:tblPrEx>
          <w:tblCellMar>
            <w:top w:w="0" w:type="dxa"/>
            <w:left w:w="108" w:type="dxa"/>
            <w:bottom w:w="0" w:type="dxa"/>
            <w:right w:w="108" w:type="dxa"/>
          </w:tblCellMar>
        </w:tblPrEx>
        <w:trPr>
          <w:trHeight w:val="575" w:hRule="atLeast"/>
        </w:trPr>
        <w:tc>
          <w:tcPr>
            <w:tcW w:w="3184" w:type="dxa"/>
            <w:tcBorders>
              <w:top w:val="single" w:color="000000" w:sz="4" w:space="0"/>
              <w:left w:val="single" w:color="000000" w:sz="4" w:space="0"/>
              <w:bottom w:val="single" w:color="000000" w:sz="4" w:space="0"/>
              <w:right w:val="single" w:color="000000" w:sz="4" w:space="0"/>
            </w:tcBorders>
            <w:noWrap w:val="0"/>
            <w:vAlign w:val="center"/>
          </w:tcPr>
          <w:p w14:paraId="21048D7C">
            <w:pPr>
              <w:keepNext w:val="0"/>
              <w:keepLines w:val="0"/>
              <w:pageBreakBefore w:val="0"/>
              <w:widowControl w:val="0"/>
              <w:kinsoku/>
              <w:wordWrap/>
              <w:overflowPunct/>
              <w:topLinePunct w:val="0"/>
              <w:autoSpaceDE/>
              <w:autoSpaceDN/>
              <w:bidi w:val="0"/>
              <w:adjustRightInd/>
              <w:snapToGrid/>
              <w:spacing w:line="400" w:lineRule="exact"/>
              <w:textAlignment w:val="auto"/>
              <w:rPr>
                <w:rFonts w:ascii="宋体" w:hAnsi="宋体" w:cs="宋体"/>
                <w:color w:val="auto"/>
                <w:sz w:val="24"/>
              </w:rPr>
            </w:pPr>
            <w:r>
              <w:rPr>
                <w:rFonts w:hint="eastAsia" w:ascii="宋体" w:hAnsi="宋体" w:cs="宋体"/>
                <w:color w:val="auto"/>
                <w:sz w:val="24"/>
              </w:rPr>
              <w:t>33-55座大客车</w:t>
            </w:r>
          </w:p>
        </w:tc>
        <w:tc>
          <w:tcPr>
            <w:tcW w:w="4786" w:type="dxa"/>
            <w:tcBorders>
              <w:top w:val="single" w:color="000000" w:sz="4" w:space="0"/>
              <w:left w:val="single" w:color="000000" w:sz="4" w:space="0"/>
              <w:bottom w:val="single" w:color="000000" w:sz="4" w:space="0"/>
              <w:right w:val="single" w:color="auto" w:sz="4" w:space="0"/>
            </w:tcBorders>
            <w:noWrap w:val="0"/>
            <w:vAlign w:val="center"/>
          </w:tcPr>
          <w:p w14:paraId="36199FF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宋体" w:hAnsi="宋体" w:cs="宋体"/>
                <w:color w:val="auto"/>
                <w:sz w:val="24"/>
              </w:rPr>
            </w:pPr>
            <w:r>
              <w:rPr>
                <w:rFonts w:hint="eastAsia" w:ascii="宋体" w:hAnsi="宋体" w:cs="宋体"/>
                <w:color w:val="auto"/>
                <w:sz w:val="24"/>
              </w:rPr>
              <w:t>宇通、金龙或同档次车辆</w:t>
            </w:r>
          </w:p>
        </w:tc>
        <w:tc>
          <w:tcPr>
            <w:tcW w:w="2389" w:type="dxa"/>
            <w:vMerge w:val="continue"/>
            <w:tcBorders>
              <w:left w:val="single" w:color="auto" w:sz="4" w:space="0"/>
              <w:right w:val="single" w:color="000000" w:sz="4" w:space="0"/>
            </w:tcBorders>
            <w:noWrap w:val="0"/>
            <w:vAlign w:val="center"/>
          </w:tcPr>
          <w:p w14:paraId="7F428053">
            <w:pPr>
              <w:keepNext w:val="0"/>
              <w:keepLines w:val="0"/>
              <w:pageBreakBefore w:val="0"/>
              <w:widowControl w:val="0"/>
              <w:kinsoku/>
              <w:wordWrap/>
              <w:overflowPunct/>
              <w:topLinePunct w:val="0"/>
              <w:autoSpaceDE/>
              <w:autoSpaceDN/>
              <w:bidi w:val="0"/>
              <w:adjustRightInd/>
              <w:snapToGrid/>
              <w:spacing w:line="400" w:lineRule="exact"/>
              <w:ind w:firstLine="420"/>
              <w:jc w:val="center"/>
              <w:textAlignment w:val="auto"/>
              <w:rPr>
                <w:rFonts w:ascii="宋体" w:hAnsi="宋体" w:cs="宋体"/>
                <w:color w:val="auto"/>
                <w:sz w:val="24"/>
              </w:rPr>
            </w:pPr>
          </w:p>
        </w:tc>
      </w:tr>
      <w:tr w14:paraId="6DE00233">
        <w:tblPrEx>
          <w:tblCellMar>
            <w:top w:w="0" w:type="dxa"/>
            <w:left w:w="108" w:type="dxa"/>
            <w:bottom w:w="0" w:type="dxa"/>
            <w:right w:w="108" w:type="dxa"/>
          </w:tblCellMar>
        </w:tblPrEx>
        <w:trPr>
          <w:trHeight w:val="575" w:hRule="atLeast"/>
        </w:trPr>
        <w:tc>
          <w:tcPr>
            <w:tcW w:w="3184" w:type="dxa"/>
            <w:tcBorders>
              <w:top w:val="single" w:color="000000" w:sz="4" w:space="0"/>
              <w:left w:val="single" w:color="000000" w:sz="4" w:space="0"/>
              <w:bottom w:val="single" w:color="000000" w:sz="4" w:space="0"/>
              <w:right w:val="single" w:color="000000" w:sz="4" w:space="0"/>
            </w:tcBorders>
            <w:noWrap w:val="0"/>
            <w:vAlign w:val="center"/>
          </w:tcPr>
          <w:p w14:paraId="29DC246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s="宋体"/>
                <w:color w:val="auto"/>
                <w:sz w:val="24"/>
              </w:rPr>
            </w:pPr>
            <w:r>
              <w:rPr>
                <w:rFonts w:hint="eastAsia" w:ascii="宋体" w:hAnsi="宋体"/>
                <w:color w:val="auto"/>
                <w:sz w:val="24"/>
              </w:rPr>
              <w:t>45座（含）大客车</w:t>
            </w:r>
          </w:p>
        </w:tc>
        <w:tc>
          <w:tcPr>
            <w:tcW w:w="4786" w:type="dxa"/>
            <w:tcBorders>
              <w:top w:val="single" w:color="000000" w:sz="4" w:space="0"/>
              <w:left w:val="single" w:color="000000" w:sz="4" w:space="0"/>
              <w:bottom w:val="single" w:color="000000" w:sz="4" w:space="0"/>
              <w:right w:val="single" w:color="auto" w:sz="4" w:space="0"/>
            </w:tcBorders>
            <w:noWrap w:val="0"/>
            <w:vAlign w:val="center"/>
          </w:tcPr>
          <w:p w14:paraId="0D2A97E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cs="宋体"/>
                <w:color w:val="auto"/>
                <w:sz w:val="24"/>
              </w:rPr>
            </w:pPr>
            <w:r>
              <w:rPr>
                <w:rFonts w:hint="eastAsia" w:ascii="宋体" w:hAnsi="宋体" w:cs="宋体"/>
                <w:color w:val="auto"/>
                <w:sz w:val="24"/>
              </w:rPr>
              <w:t>宇通、金龙或同档次车辆</w:t>
            </w:r>
          </w:p>
        </w:tc>
        <w:tc>
          <w:tcPr>
            <w:tcW w:w="2389" w:type="dxa"/>
            <w:vMerge w:val="continue"/>
            <w:tcBorders>
              <w:left w:val="single" w:color="auto" w:sz="4" w:space="0"/>
              <w:right w:val="single" w:color="000000" w:sz="4" w:space="0"/>
            </w:tcBorders>
            <w:noWrap w:val="0"/>
            <w:vAlign w:val="center"/>
          </w:tcPr>
          <w:p w14:paraId="331B7ECF">
            <w:pPr>
              <w:keepNext w:val="0"/>
              <w:keepLines w:val="0"/>
              <w:pageBreakBefore w:val="0"/>
              <w:widowControl w:val="0"/>
              <w:kinsoku/>
              <w:wordWrap/>
              <w:overflowPunct/>
              <w:topLinePunct w:val="0"/>
              <w:autoSpaceDE/>
              <w:autoSpaceDN/>
              <w:bidi w:val="0"/>
              <w:adjustRightInd/>
              <w:snapToGrid/>
              <w:spacing w:line="400" w:lineRule="exact"/>
              <w:ind w:firstLine="420"/>
              <w:jc w:val="center"/>
              <w:textAlignment w:val="auto"/>
              <w:rPr>
                <w:rFonts w:ascii="宋体" w:hAnsi="宋体" w:cs="宋体"/>
                <w:color w:val="auto"/>
                <w:sz w:val="24"/>
              </w:rPr>
            </w:pPr>
          </w:p>
        </w:tc>
      </w:tr>
      <w:tr w14:paraId="3984293E">
        <w:tblPrEx>
          <w:tblCellMar>
            <w:top w:w="0" w:type="dxa"/>
            <w:left w:w="108" w:type="dxa"/>
            <w:bottom w:w="0" w:type="dxa"/>
            <w:right w:w="108" w:type="dxa"/>
          </w:tblCellMar>
        </w:tblPrEx>
        <w:trPr>
          <w:trHeight w:val="592" w:hRule="atLeast"/>
        </w:trPr>
        <w:tc>
          <w:tcPr>
            <w:tcW w:w="3184" w:type="dxa"/>
            <w:tcBorders>
              <w:top w:val="single" w:color="000000" w:sz="4" w:space="0"/>
              <w:left w:val="single" w:color="000000" w:sz="4" w:space="0"/>
              <w:bottom w:val="single" w:color="000000" w:sz="4" w:space="0"/>
              <w:right w:val="single" w:color="000000" w:sz="4" w:space="0"/>
            </w:tcBorders>
            <w:noWrap w:val="0"/>
            <w:vAlign w:val="center"/>
          </w:tcPr>
          <w:p w14:paraId="542177D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s="宋体"/>
                <w:color w:val="auto"/>
                <w:sz w:val="24"/>
              </w:rPr>
            </w:pPr>
            <w:r>
              <w:rPr>
                <w:rFonts w:hint="eastAsia" w:ascii="宋体" w:hAnsi="宋体"/>
                <w:color w:val="auto"/>
                <w:sz w:val="24"/>
              </w:rPr>
              <w:t>45座以上大客车</w:t>
            </w:r>
          </w:p>
        </w:tc>
        <w:tc>
          <w:tcPr>
            <w:tcW w:w="4786" w:type="dxa"/>
            <w:tcBorders>
              <w:top w:val="single" w:color="000000" w:sz="4" w:space="0"/>
              <w:left w:val="single" w:color="000000" w:sz="4" w:space="0"/>
              <w:bottom w:val="single" w:color="000000" w:sz="4" w:space="0"/>
              <w:right w:val="single" w:color="auto" w:sz="4" w:space="0"/>
            </w:tcBorders>
            <w:noWrap w:val="0"/>
            <w:vAlign w:val="center"/>
          </w:tcPr>
          <w:p w14:paraId="6D2739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cs="宋体"/>
                <w:color w:val="auto"/>
                <w:sz w:val="24"/>
              </w:rPr>
            </w:pPr>
            <w:r>
              <w:rPr>
                <w:rFonts w:hint="eastAsia" w:ascii="宋体" w:hAnsi="宋体" w:cs="宋体"/>
                <w:color w:val="auto"/>
                <w:sz w:val="24"/>
              </w:rPr>
              <w:t>宇通、金龙或同档次车辆</w:t>
            </w:r>
          </w:p>
        </w:tc>
        <w:tc>
          <w:tcPr>
            <w:tcW w:w="2389" w:type="dxa"/>
            <w:vMerge w:val="continue"/>
            <w:tcBorders>
              <w:left w:val="single" w:color="auto" w:sz="4" w:space="0"/>
              <w:bottom w:val="single" w:color="000000" w:sz="4" w:space="0"/>
              <w:right w:val="single" w:color="000000" w:sz="4" w:space="0"/>
            </w:tcBorders>
            <w:noWrap w:val="0"/>
            <w:vAlign w:val="center"/>
          </w:tcPr>
          <w:p w14:paraId="16DC1A0B">
            <w:pPr>
              <w:keepNext w:val="0"/>
              <w:keepLines w:val="0"/>
              <w:pageBreakBefore w:val="0"/>
              <w:widowControl w:val="0"/>
              <w:kinsoku/>
              <w:wordWrap/>
              <w:overflowPunct/>
              <w:topLinePunct w:val="0"/>
              <w:autoSpaceDE/>
              <w:autoSpaceDN/>
              <w:bidi w:val="0"/>
              <w:adjustRightInd/>
              <w:snapToGrid/>
              <w:spacing w:line="400" w:lineRule="exact"/>
              <w:ind w:firstLine="420"/>
              <w:jc w:val="center"/>
              <w:textAlignment w:val="auto"/>
              <w:rPr>
                <w:rFonts w:ascii="宋体" w:hAnsi="宋体" w:cs="宋体"/>
                <w:color w:val="auto"/>
                <w:sz w:val="24"/>
              </w:rPr>
            </w:pPr>
          </w:p>
        </w:tc>
      </w:tr>
    </w:tbl>
    <w:p w14:paraId="72FCA62B">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（二）服务要求：</w:t>
      </w:r>
    </w:p>
    <w:p w14:paraId="012255F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1、报价人拥有车辆的所有权。</w:t>
      </w:r>
    </w:p>
    <w:p w14:paraId="1D83A1D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2、报价人提供服务的车辆须车质、车况良好，设备齐全，具备有效的公路运输营运证、行驶证、养路证、营业性保险证以及国家要求缴纳的各项规费凭证；报价人提供的资料应保证真实、有效，否则就此产生的责任均由报价人承担。如涉及违规产生的所有滞纳金均由报价人承担。</w:t>
      </w:r>
    </w:p>
    <w:p w14:paraId="3E31314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3、报价人中标后提供采购人用车前，须为所有车辆购买有效的机动车交通事故责任强制保险及商业保险，包括第三者责任险保额必须在100万及以上，驾驶员、乘客各20万元及以上、车辆损失险、不计免赔等。</w:t>
      </w:r>
    </w:p>
    <w:p w14:paraId="3644516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 xml:space="preserve">4、报价人负责车辆年检和缴纳各种机动车的国家规定的规费，提供服务车辆出现故障时，报价人应无条件及时更换其它状况良好的车辆继续服务。 </w:t>
      </w:r>
    </w:p>
    <w:p w14:paraId="7F653EB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5、车辆正常维修和养护、燃油产生费用、车辆日常使用所有产生的临时保管、临时停车、高速、过路桥、驾驶员住宿就餐等费用由报价人负责。</w:t>
      </w:r>
    </w:p>
    <w:p w14:paraId="61360AE2">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6、报价人配给采购人使用车辆时，须交由有（机动车驾驶证）的人员驾驶车辆；驾驶车辆上路驾驶人员必须严格遵守交通规则，车辆使用后要停放在安全位置或正规的车辆保管站保管。</w:t>
      </w:r>
    </w:p>
    <w:p w14:paraId="43929F0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7、报价人应保持交通车内部、外部之清洁卫生，保证车况良好，并在气温超过或低于国家规定的数值时开启空调以满足乘坐人员的需求，其所产生之清洁费或其他相关费用由报价人负责。</w:t>
      </w:r>
    </w:p>
    <w:p w14:paraId="08CECDAC">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8、若报价人提供之车辆性能、品质或配置低于合同所规定的车辆，采购人可要求报价人更换车辆。</w:t>
      </w:r>
    </w:p>
    <w:p w14:paraId="47064F4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9、报价人应指派品行良好，身体健康，并持相应的中华人民共和国机动车有效驾驶证件的司机驾驶车辆。驾驶人应取得相应准驾车型驾驶证并具有所配备车型3年以上驾驶经历，年龄在25周岁以上、不超过55周岁。最近连续3个记分周期内没有被记满分记录，无致人死亡或者重伤的交通事故责任记录；无饮酒后驾驶或者醉酒驾驶机动车记录，最近1年内无驾驶客运车辆超员、超速等严重交通违法行为记录。</w:t>
      </w:r>
    </w:p>
    <w:p w14:paraId="5A103BE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10、报价人应要求其所指派之驾驶人员于驾驶交通车时，应确保遵守有关交通法规规定。交通违章产生的费用由当时驾驶车辆违章人员负责支付。</w:t>
      </w:r>
    </w:p>
    <w:p w14:paraId="041048C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11、报价人交通车在运行当中由于天气或不可抗拒因素（如交通事故引起的堵塞、临时交通管制、恶劣天气等）造成的脱班延误，报价人应妥善协调解决。对于持续性的交通管制，服务商应及时调整车辆路线。</w:t>
      </w:r>
    </w:p>
    <w:p w14:paraId="2CDBA3CD">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12.1乘坐人数不超过营运车辆所允许的人数；</w:t>
      </w:r>
    </w:p>
    <w:p w14:paraId="45CE639E">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12.2在运输途中发生交通事故导致乘坐人员伤亡及财产损失的，采购人有权要求报价人对伤亡及损失承担全部的赔偿和事故处理责任。交通事故责任被认定涉及第三方的，由报价人自行向该第三方追索，报价人不得以此为由拖延或拒绝履行对乘坐人员的责任。因乘坐人员故意或重大过错而导致的乘坐人员伤亡与报价人无关；</w:t>
      </w:r>
    </w:p>
    <w:p w14:paraId="1A77294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12.3乘坐人员必须爱护报价人车辆内任何设施并保持车内清洁，乘坐人员如损坏车辆及设施应由报价人向事故责任人按价赔偿。</w:t>
      </w:r>
    </w:p>
    <w:p w14:paraId="582C046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 xml:space="preserve">13、报价人提供的所有车辆必须投保交通强制责任保险和机动车商业险并投保承运人责任险。且保险期限必须超过用车的结束时间。 </w:t>
      </w:r>
    </w:p>
    <w:p w14:paraId="2C3C3866">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（三）其他要求</w:t>
      </w:r>
    </w:p>
    <w:p w14:paraId="387E6D97">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1、报价人必须遵守中华人民共和国《民法典》的规定，为采购人提供服务的人员如遇到工资纠纷问题由报价人自行解决。</w:t>
      </w:r>
    </w:p>
    <w:p w14:paraId="7762E414">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2、确定中标单位后的其他要求：</w:t>
      </w:r>
    </w:p>
    <w:p w14:paraId="343E18C9">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（1）使用车辆前，需由采购人向报价人提供书面或电话通知，明确行车路线和时间。</w:t>
      </w:r>
    </w:p>
    <w:p w14:paraId="1AD52B08">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宋体" w:hAnsi="宋体"/>
          <w:color w:val="auto"/>
          <w:sz w:val="24"/>
        </w:rPr>
      </w:pPr>
      <w:r>
        <w:rPr>
          <w:rFonts w:hint="eastAsia" w:ascii="宋体" w:hAnsi="宋体"/>
          <w:color w:val="auto"/>
          <w:sz w:val="24"/>
        </w:rPr>
        <w:t xml:space="preserve">（2）报价人每次完成服务时要将行车情况和公里数（或出车时间）交乘坐人员签字确认，并作为报价人结算依据。 </w:t>
      </w:r>
    </w:p>
    <w:p w14:paraId="0D0124C2">
      <w:pPr>
        <w:keepNext w:val="0"/>
        <w:keepLines w:val="0"/>
        <w:pageBreakBefore w:val="0"/>
        <w:widowControl w:val="0"/>
        <w:kinsoku/>
        <w:wordWrap/>
        <w:overflowPunct/>
        <w:topLinePunct w:val="0"/>
        <w:autoSpaceDE/>
        <w:autoSpaceDN/>
        <w:bidi w:val="0"/>
        <w:adjustRightInd/>
        <w:snapToGrid/>
        <w:spacing w:line="400" w:lineRule="exact"/>
        <w:textAlignment w:val="auto"/>
        <w:rPr>
          <w:rStyle w:val="5"/>
          <w:color w:val="auto"/>
          <w:lang w:val="zh-CN"/>
        </w:rPr>
      </w:pPr>
      <w:r>
        <w:rPr>
          <w:rFonts w:hint="eastAsia" w:ascii="宋体" w:hAnsi="宋体"/>
          <w:color w:val="auto"/>
          <w:sz w:val="24"/>
        </w:rPr>
        <w:t>（3）采购人用车期间，报价人应服从采购人调配，合理安排使用车辆。</w:t>
      </w:r>
    </w:p>
    <w:p w14:paraId="539615C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EEE5E27"/>
    <w:rsid w:val="4EEE5E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link w:val="5"/>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character" w:customStyle="1" w:styleId="5">
    <w:name w:val="标题 2 Char"/>
    <w:link w:val="2"/>
    <w:qFormat/>
    <w:uiPriority w:val="9"/>
    <w:rPr>
      <w:rFonts w:hint="eastAsia" w:ascii="宋体" w:hAnsi="宋体" w:eastAsia="宋体" w:cs="宋体"/>
      <w:b/>
      <w:bCs/>
      <w:kern w:val="0"/>
      <w:sz w:val="36"/>
      <w:szCs w:val="36"/>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1</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2026-01-14T07:29:00Z</dcterms:created>
  <dc:creator>老可</dc:creator>
  <cp:lastModifiedBy>老可</cp:lastModifiedBy>
  <dcterms:modified xsi:type="dcterms:W3CDTF">2026-01-14T07:31:02Z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B9E9B4D3747A4ED085AD09E782E34D3B_11</vt:lpwstr>
  </property>
  <property fmtid="{D5CDD505-2E9C-101B-9397-08002B2CF9AE}" pid="4" name="KSOTemplateDocerSaveRecord">
    <vt:lpwstr>eyJoZGlkIjoiN2ZmOTliODkzMDM4OWRhMGVmOWU3MGExYTVmYjliM2EiLCJ1c2VySWQiOiI4MTE4NTQ3NzYifQ==</vt:lpwstr>
  </property>
</Properties>
</file>